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954"/>
        <w:gridCol w:w="2175"/>
        <w:gridCol w:w="1260"/>
        <w:gridCol w:w="1530"/>
        <w:gridCol w:w="2286"/>
        <w:gridCol w:w="2514"/>
        <w:gridCol w:w="1665"/>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5309"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bookmarkStart w:id="0" w:name="_GoBack"/>
            <w:bookmarkEnd w:id="0"/>
            <w:r>
              <w:rPr>
                <w:rFonts w:hint="eastAsia" w:ascii="方正小标宋简体" w:hAnsi="方正小标宋简体" w:eastAsia="方正小标宋简体" w:cs="方正小标宋简体"/>
                <w:b/>
                <w:bCs/>
                <w:i w:val="0"/>
                <w:iCs w:val="0"/>
                <w:color w:val="000000"/>
                <w:kern w:val="0"/>
                <w:sz w:val="36"/>
                <w:szCs w:val="36"/>
                <w:u w:val="none"/>
                <w:lang w:val="en-US" w:eastAsia="zh-CN" w:bidi="ar"/>
              </w:rPr>
              <w:t>项目竞选表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2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251"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夷陵长江大桥下塔柱清淤及爬梯维护项目</w:t>
            </w:r>
          </w:p>
        </w:tc>
        <w:tc>
          <w:tcPr>
            <w:tcW w:w="251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响应日期</w:t>
            </w:r>
          </w:p>
        </w:tc>
        <w:tc>
          <w:tcPr>
            <w:tcW w:w="3915" w:type="dxa"/>
            <w:gridSpan w:val="2"/>
            <w:tcBorders>
              <w:top w:val="nil"/>
              <w:left w:val="dashed" w:color="000000" w:sz="8"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采购方全称</w:t>
            </w:r>
          </w:p>
        </w:tc>
        <w:tc>
          <w:tcPr>
            <w:tcW w:w="72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宜昌长江大桥建设营运集团有限公司城市桥梁分公司</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供应商全称(盖章）</w:t>
            </w:r>
          </w:p>
        </w:tc>
        <w:tc>
          <w:tcPr>
            <w:tcW w:w="3915" w:type="dxa"/>
            <w:gridSpan w:val="2"/>
            <w:tcBorders>
              <w:top w:val="single" w:color="000000" w:sz="4" w:space="0"/>
              <w:left w:val="dashed"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采购方地址</w:t>
            </w:r>
          </w:p>
        </w:tc>
        <w:tc>
          <w:tcPr>
            <w:tcW w:w="72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宜昌长江大桥建设营运集团有限公司城市桥梁分公司养护站</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（宜昌市点军区上李家河）</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供应商地址</w:t>
            </w:r>
          </w:p>
        </w:tc>
        <w:tc>
          <w:tcPr>
            <w:tcW w:w="3915" w:type="dxa"/>
            <w:gridSpan w:val="2"/>
            <w:tcBorders>
              <w:top w:val="single" w:color="000000" w:sz="4" w:space="0"/>
              <w:left w:val="dashed"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采购方经办人</w:t>
            </w:r>
          </w:p>
        </w:tc>
        <w:tc>
          <w:tcPr>
            <w:tcW w:w="72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龚一哲、车灿</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供应商联系人</w:t>
            </w:r>
          </w:p>
        </w:tc>
        <w:tc>
          <w:tcPr>
            <w:tcW w:w="3915" w:type="dxa"/>
            <w:gridSpan w:val="2"/>
            <w:tcBorders>
              <w:top w:val="single" w:color="000000" w:sz="4" w:space="0"/>
              <w:left w:val="dashed"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72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18608605090</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3915" w:type="dxa"/>
            <w:gridSpan w:val="2"/>
            <w:tcBorders>
              <w:top w:val="single" w:color="000000" w:sz="4" w:space="0"/>
              <w:left w:val="dashed"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施工工期及服务要求</w:t>
            </w:r>
          </w:p>
        </w:tc>
        <w:tc>
          <w:tcPr>
            <w:tcW w:w="1665" w:type="dxa"/>
            <w:tcBorders>
              <w:top w:val="single" w:color="000000" w:sz="4" w:space="0"/>
              <w:left w:val="dashed"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exac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下塔柱内清淤</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84.5</w:t>
            </w:r>
          </w:p>
        </w:tc>
        <w:tc>
          <w:tcPr>
            <w:tcW w:w="4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1.履约期限：</w:t>
            </w:r>
            <w:r>
              <w:rPr>
                <w:rFonts w:hint="eastAsia" w:ascii="宋体" w:hAnsi="宋体" w:eastAsia="宋体" w:cs="宋体"/>
                <w:i w:val="0"/>
                <w:iCs w:val="0"/>
                <w:color w:val="000000"/>
                <w:kern w:val="0"/>
                <w:sz w:val="21"/>
                <w:szCs w:val="21"/>
                <w:u w:val="none"/>
                <w:lang w:val="en-US" w:eastAsia="zh-CN" w:bidi="ar"/>
              </w:rPr>
              <w:t>自开工申请通过之日起20日历天。</w:t>
            </w:r>
            <w:r>
              <w:rPr>
                <w:rFonts w:hint="eastAsia" w:ascii="宋体" w:hAnsi="宋体" w:eastAsia="宋体" w:cs="宋体"/>
                <w:b/>
                <w:bCs/>
                <w:i w:val="0"/>
                <w:iCs w:val="0"/>
                <w:color w:val="000000"/>
                <w:kern w:val="0"/>
                <w:sz w:val="21"/>
                <w:szCs w:val="21"/>
                <w:u w:val="none"/>
                <w:lang w:val="en-US" w:eastAsia="zh-CN" w:bidi="ar"/>
              </w:rPr>
              <w:t>2.资质要求：</w:t>
            </w:r>
            <w:r>
              <w:rPr>
                <w:rFonts w:hint="eastAsia" w:ascii="宋体" w:hAnsi="宋体" w:eastAsia="宋体" w:cs="宋体"/>
                <w:i w:val="0"/>
                <w:iCs w:val="0"/>
                <w:color w:val="000000"/>
                <w:kern w:val="0"/>
                <w:sz w:val="21"/>
                <w:szCs w:val="21"/>
                <w:u w:val="none"/>
                <w:lang w:val="en-US" w:eastAsia="zh-CN" w:bidi="ar"/>
              </w:rPr>
              <w:t>（1）具有工商行政主管部门核发的有效法人营业执照或事业单位法人证书，供应商不得以分公司名义参与；（2）具备建设行政主管部门核发的施工劳务资质或施工劳务备案证书和有效安全生产许可证；（3）拟派特种作业人员的作业类别须包含焊接与热切割作业和高处作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lang w:val="en-US" w:eastAsia="zh-CN"/>
              </w:rPr>
            </w:pPr>
            <w:r>
              <w:rPr>
                <w:rFonts w:hint="eastAsia" w:ascii="宋体" w:hAnsi="宋体" w:eastAsia="宋体" w:cs="宋体"/>
                <w:b/>
                <w:bCs/>
                <w:i w:val="0"/>
                <w:iCs w:val="0"/>
                <w:color w:val="000000"/>
                <w:kern w:val="0"/>
                <w:sz w:val="21"/>
                <w:szCs w:val="21"/>
                <w:u w:val="none"/>
                <w:lang w:val="en-US" w:eastAsia="zh-CN" w:bidi="ar"/>
              </w:rPr>
              <w:t>3.施工要求：</w:t>
            </w:r>
            <w:r>
              <w:rPr>
                <w:rFonts w:hint="eastAsia" w:ascii="宋体" w:hAnsi="宋体" w:eastAsia="宋体" w:cs="宋体"/>
                <w:i w:val="0"/>
                <w:iCs w:val="0"/>
                <w:color w:val="000000"/>
                <w:kern w:val="0"/>
                <w:sz w:val="21"/>
                <w:szCs w:val="21"/>
                <w:u w:val="none"/>
                <w:lang w:val="en-US" w:eastAsia="zh-CN" w:bidi="ar"/>
              </w:rPr>
              <w:t>（1）施工人员进入下塔柱箱室的下梯高度为22~29米，拟布置抽水机、高压水枪进行人工冲刷清淤，淤泥通过底部风口冲出。（2）钢制爬梯（含保护笼）维护及新装涉及半密闭空间作业、高空作业；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4.质量要求：</w:t>
            </w:r>
            <w:r>
              <w:rPr>
                <w:rFonts w:hint="eastAsia" w:ascii="宋体" w:hAnsi="宋体" w:eastAsia="宋体" w:cs="宋体"/>
                <w:i w:val="0"/>
                <w:iCs w:val="0"/>
                <w:color w:val="000000"/>
                <w:kern w:val="0"/>
                <w:sz w:val="21"/>
                <w:szCs w:val="21"/>
                <w:u w:val="none"/>
                <w:lang w:val="en-US" w:eastAsia="zh-CN" w:bidi="ar"/>
              </w:rPr>
              <w:t xml:space="preserve">（1）维护钢制爬梯的防腐涂装要求一底、一中、两面：环氧富锌底漆，60μm：环氧云铁中间漆，60μm，丙烯酸聚氨酯面漆40μm（两面80μm），总厚度不低于200μm；（2）新增钢制爬梯尺寸、材料规格和焊接要求遵照图纸要求，且焊接点防腐要求同上；（3）箱室内建筑垃圾包括废旧模板、油漆桶等应在清淤完成后清理出箱室。   </w:t>
            </w:r>
            <w:r>
              <w:rPr>
                <w:rFonts w:hint="eastAsia" w:ascii="宋体" w:hAnsi="宋体" w:eastAsia="宋体" w:cs="宋体"/>
                <w:b/>
                <w:bCs/>
                <w:i w:val="0"/>
                <w:iCs w:val="0"/>
                <w:color w:val="000000"/>
                <w:kern w:val="0"/>
                <w:sz w:val="21"/>
                <w:szCs w:val="21"/>
                <w:u w:val="none"/>
                <w:lang w:val="en-US" w:eastAsia="zh-CN" w:bidi="ar"/>
              </w:rPr>
              <w:t xml:space="preserve">                                    5.其他需说明的情况：</w:t>
            </w:r>
            <w:r>
              <w:rPr>
                <w:rFonts w:hint="eastAsia" w:ascii="宋体" w:hAnsi="宋体" w:eastAsia="宋体" w:cs="宋体"/>
                <w:i w:val="0"/>
                <w:iCs w:val="0"/>
                <w:color w:val="000000"/>
                <w:kern w:val="0"/>
                <w:sz w:val="21"/>
                <w:szCs w:val="21"/>
                <w:u w:val="none"/>
                <w:lang w:val="en-US" w:eastAsia="zh-CN" w:bidi="ar"/>
              </w:rPr>
              <w:t>（1）新增钢爬梯图纸见附件；（2）另涉及环境保护作业申报需供应商自行向有关单位进行申报，我方给予配合。</w:t>
            </w:r>
          </w:p>
        </w:tc>
        <w:tc>
          <w:tcPr>
            <w:tcW w:w="1665" w:type="dxa"/>
            <w:tcBorders>
              <w:top w:val="single" w:color="000000" w:sz="4" w:space="0"/>
              <w:left w:val="dashed"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9" w:hRule="exac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钢制爬梯维护         （含保护笼）</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4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665" w:type="dxa"/>
            <w:tcBorders>
              <w:top w:val="single" w:color="000000" w:sz="4" w:space="0"/>
              <w:left w:val="dashed"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制作安装新增钢制爬梯</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665" w:type="dxa"/>
            <w:tcBorders>
              <w:top w:val="single" w:color="000000" w:sz="4" w:space="0"/>
              <w:left w:val="dashed"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箱室内建筑垃圾清理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665" w:type="dxa"/>
            <w:tcBorders>
              <w:top w:val="single" w:color="000000" w:sz="4" w:space="0"/>
              <w:left w:val="dashed"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总价（含人工费、材料费、机械费、措施费、运输费、规费、税费等一切费用）</w:t>
            </w:r>
          </w:p>
        </w:tc>
        <w:tc>
          <w:tcPr>
            <w:tcW w:w="3915" w:type="dxa"/>
            <w:gridSpan w:val="2"/>
            <w:tcBorders>
              <w:top w:val="single" w:color="000000" w:sz="4" w:space="0"/>
              <w:left w:val="dashed"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13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以上为采购方填写</w:t>
            </w:r>
          </w:p>
        </w:tc>
        <w:tc>
          <w:tcPr>
            <w:tcW w:w="3915" w:type="dxa"/>
            <w:gridSpan w:val="2"/>
            <w:tcBorders>
              <w:top w:val="single" w:color="000000" w:sz="4" w:space="0"/>
              <w:left w:val="dashed"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以上为报价方填写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14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1.请在报价单虚线右方填写报价方信息、报价金额等，并打印后加盖单位公章。</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57" w:lineRule="atLeast"/>
        <w:ind w:right="0"/>
        <w:jc w:val="both"/>
        <w:rPr>
          <w:rFonts w:hint="eastAsia" w:asciiTheme="minorEastAsia" w:hAnsiTheme="minorEastAsia" w:eastAsiaTheme="minorEastAsia" w:cstheme="minorEastAsia"/>
          <w:sz w:val="28"/>
          <w:szCs w:val="2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57" w:lineRule="atLeast"/>
        <w:ind w:right="0"/>
        <w:jc w:val="both"/>
        <w:rPr>
          <w:rFonts w:hint="eastAsia" w:asciiTheme="minorEastAsia" w:hAnsiTheme="minorEastAsia" w:eastAsiaTheme="minorEastAsia" w:cstheme="minorEastAsia"/>
          <w:sz w:val="28"/>
          <w:szCs w:val="2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57" w:lineRule="atLeast"/>
        <w:ind w:right="0"/>
        <w:jc w:val="both"/>
        <w:rPr>
          <w:rFonts w:hint="eastAsia" w:asciiTheme="minorEastAsia" w:hAnsiTheme="minorEastAsia" w:eastAsiaTheme="minorEastAsia" w:cstheme="minorEastAsia"/>
          <w:sz w:val="28"/>
          <w:szCs w:val="28"/>
          <w:lang w:val="en-US" w:eastAsia="zh-CN"/>
        </w:rPr>
        <w:sectPr>
          <w:pgSz w:w="16838" w:h="11906" w:orient="landscape"/>
          <w:pgMar w:top="1247" w:right="1134" w:bottom="1134" w:left="1134" w:header="851" w:footer="992" w:gutter="0"/>
          <w:cols w:space="425" w:num="1"/>
          <w:docGrid w:type="lines" w:linePitch="312" w:charSpace="0"/>
        </w:sect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57" w:lineRule="atLeast"/>
        <w:ind w:right="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drawing>
          <wp:inline distT="0" distB="0" distL="114300" distR="114300">
            <wp:extent cx="10573385" cy="7475855"/>
            <wp:effectExtent l="0" t="0" r="18415" b="1079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10573385" cy="7475855"/>
                    </a:xfrm>
                    <a:prstGeom prst="rect">
                      <a:avLst/>
                    </a:prstGeom>
                  </pic:spPr>
                </pic:pic>
              </a:graphicData>
            </a:graphic>
          </wp:inline>
        </w:drawing>
      </w: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E60EE"/>
    <w:rsid w:val="006F7433"/>
    <w:rsid w:val="0A870700"/>
    <w:rsid w:val="0DA469B5"/>
    <w:rsid w:val="13273990"/>
    <w:rsid w:val="17602A18"/>
    <w:rsid w:val="270655CB"/>
    <w:rsid w:val="31F67F5A"/>
    <w:rsid w:val="37583930"/>
    <w:rsid w:val="37A25A43"/>
    <w:rsid w:val="39EE153A"/>
    <w:rsid w:val="3E9E73B4"/>
    <w:rsid w:val="485245AC"/>
    <w:rsid w:val="4AEA6BB1"/>
    <w:rsid w:val="50A532E8"/>
    <w:rsid w:val="53F12372"/>
    <w:rsid w:val="591F2E31"/>
    <w:rsid w:val="60453005"/>
    <w:rsid w:val="60975771"/>
    <w:rsid w:val="61883E36"/>
    <w:rsid w:val="63175832"/>
    <w:rsid w:val="65FA641F"/>
    <w:rsid w:val="6EBB5BAA"/>
    <w:rsid w:val="725E60EE"/>
    <w:rsid w:val="7F476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01"/>
    <w:basedOn w:val="5"/>
    <w:qFormat/>
    <w:uiPriority w:val="0"/>
    <w:rPr>
      <w:rFonts w:hint="eastAsia" w:ascii="宋体" w:hAnsi="宋体" w:eastAsia="宋体" w:cs="宋体"/>
      <w:color w:val="000000"/>
      <w:sz w:val="22"/>
      <w:szCs w:val="22"/>
      <w:u w:val="none"/>
    </w:rPr>
  </w:style>
  <w:style w:type="character" w:customStyle="1" w:styleId="7">
    <w:name w:val="font61"/>
    <w:basedOn w:val="5"/>
    <w:qFormat/>
    <w:uiPriority w:val="0"/>
    <w:rPr>
      <w:rFonts w:hint="eastAsia" w:ascii="宋体" w:hAnsi="宋体" w:eastAsia="宋体" w:cs="宋体"/>
      <w:b/>
      <w:bCs/>
      <w:color w:val="000000"/>
      <w:sz w:val="22"/>
      <w:szCs w:val="22"/>
      <w:u w:val="none"/>
    </w:rPr>
  </w:style>
  <w:style w:type="character" w:customStyle="1" w:styleId="8">
    <w:name w:val="font41"/>
    <w:basedOn w:val="5"/>
    <w:qFormat/>
    <w:uiPriority w:val="0"/>
    <w:rPr>
      <w:rFonts w:hint="eastAsia" w:ascii="宋体" w:hAnsi="宋体" w:eastAsia="宋体" w:cs="宋体"/>
      <w:color w:val="000000"/>
      <w:sz w:val="22"/>
      <w:szCs w:val="22"/>
      <w:u w:val="none"/>
    </w:rPr>
  </w:style>
  <w:style w:type="character" w:customStyle="1" w:styleId="9">
    <w:name w:val="font31"/>
    <w:basedOn w:val="5"/>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2266</Words>
  <Characters>2407</Characters>
  <Lines>0</Lines>
  <Paragraphs>0</Paragraphs>
  <TotalTime>10</TotalTime>
  <ScaleCrop>false</ScaleCrop>
  <LinksUpToDate>false</LinksUpToDate>
  <CharactersWithSpaces>2468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2024-03-14T01:31:00Z</dcterms:created>
  <dc:creator>Lenovo</dc:creator>
  <cp:lastModifiedBy>nunu</cp:lastModifiedBy>
  <dcterms:modified xsi:type="dcterms:W3CDTF">2024-03-22T02:56:06Z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AFAB6AA685C3456B8E4F66645BF2AF7D</vt:lpwstr>
  </property>
</Properties>
</file>